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327"/>
        <w:gridCol w:w="2966"/>
      </w:tblGrid>
      <w:tr w:rsidR="00325C84" w:rsidRPr="00C95367" w:rsidTr="00326329">
        <w:trPr>
          <w:tblCellSpacing w:w="15" w:type="dxa"/>
        </w:trPr>
        <w:tc>
          <w:tcPr>
            <w:tcW w:w="0" w:type="auto"/>
            <w:shd w:val="clear" w:color="auto" w:fill="990000"/>
            <w:vAlign w:val="center"/>
            <w:hideMark/>
          </w:tcPr>
          <w:p w:rsidR="00325C84" w:rsidRPr="00C95367" w:rsidRDefault="00325C84" w:rsidP="00326329">
            <w:pPr>
              <w:spacing w:after="0" w:line="240" w:lineRule="auto"/>
              <w:rPr>
                <w:rFonts w:ascii="Times New Roman" w:eastAsia="Times New Roman" w:hAnsi="Times New Roman" w:cs="Times New Roman"/>
                <w:color w:val="000000"/>
                <w:sz w:val="24"/>
                <w:szCs w:val="24"/>
                <w:lang w:eastAsia="fr-FR"/>
              </w:rPr>
            </w:pPr>
            <w:proofErr w:type="spellStart"/>
            <w:r w:rsidRPr="00325C84">
              <w:rPr>
                <w:rFonts w:ascii="Times New Roman" w:eastAsia="Times New Roman" w:hAnsi="Times New Roman" w:cs="Times New Roman"/>
                <w:color w:val="000000"/>
                <w:sz w:val="24"/>
                <w:szCs w:val="24"/>
                <w:lang w:eastAsia="fr-FR"/>
              </w:rPr>
              <w:t>Céfradine</w:t>
            </w:r>
            <w:proofErr w:type="spellEnd"/>
            <w:r w:rsidRPr="00325C84">
              <w:rPr>
                <w:rFonts w:ascii="Times New Roman" w:eastAsia="Times New Roman" w:hAnsi="Times New Roman" w:cs="Times New Roman"/>
                <w:color w:val="000000"/>
                <w:sz w:val="24"/>
                <w:szCs w:val="24"/>
                <w:lang w:eastAsia="fr-FR"/>
              </w:rPr>
              <w:t xml:space="preserve"> </w:t>
            </w:r>
            <w:r w:rsidR="007227D1">
              <w:rPr>
                <w:rFonts w:ascii="Times New Roman" w:eastAsia="Times New Roman" w:hAnsi="Times New Roman" w:cs="Times New Roman"/>
                <w:color w:val="000000"/>
                <w:sz w:val="24"/>
                <w:szCs w:val="24"/>
                <w:lang w:eastAsia="fr-FR"/>
              </w:rPr>
              <w:t>X²</w:t>
            </w:r>
            <w:r w:rsidRPr="00C95367">
              <w:rPr>
                <w:rFonts w:ascii="Times New Roman" w:eastAsia="Times New Roman" w:hAnsi="Times New Roman" w:cs="Times New Roman"/>
                <w:color w:val="000000"/>
                <w:sz w:val="24"/>
                <w:szCs w:val="24"/>
                <w:lang w:eastAsia="fr-FR"/>
              </w:rPr>
              <w:t xml:space="preserve"> </w:t>
            </w:r>
          </w:p>
        </w:tc>
        <w:tc>
          <w:tcPr>
            <w:tcW w:w="0" w:type="auto"/>
            <w:vAlign w:val="center"/>
            <w:hideMark/>
          </w:tcPr>
          <w:p w:rsidR="00325C84" w:rsidRPr="00C95367" w:rsidRDefault="00325C84" w:rsidP="00326329">
            <w:pPr>
              <w:spacing w:after="0" w:line="240" w:lineRule="auto"/>
              <w:rPr>
                <w:rFonts w:ascii="Times New Roman" w:eastAsia="Times New Roman" w:hAnsi="Times New Roman" w:cs="Times New Roman"/>
                <w:color w:val="000000"/>
                <w:sz w:val="24"/>
                <w:szCs w:val="24"/>
                <w:lang w:eastAsia="fr-FR"/>
              </w:rPr>
            </w:pPr>
            <w:r w:rsidRPr="00C95367">
              <w:rPr>
                <w:rFonts w:ascii="Verdana" w:eastAsia="Times New Roman" w:hAnsi="Verdana" w:cs="Times New Roman"/>
                <w:b/>
                <w:bCs/>
                <w:color w:val="990000"/>
                <w:sz w:val="24"/>
                <w:szCs w:val="24"/>
                <w:lang w:eastAsia="fr-FR"/>
              </w:rPr>
              <w:t>PHARMACODYNAMIE</w:t>
            </w:r>
            <w:r w:rsidRPr="00C95367">
              <w:rPr>
                <w:rFonts w:ascii="Times New Roman" w:eastAsia="Times New Roman" w:hAnsi="Times New Roman" w:cs="Times New Roman"/>
                <w:color w:val="000000"/>
                <w:sz w:val="24"/>
                <w:szCs w:val="24"/>
                <w:lang w:eastAsia="fr-FR"/>
              </w:rPr>
              <w:t xml:space="preserve">  </w:t>
            </w:r>
          </w:p>
        </w:tc>
      </w:tr>
    </w:tbl>
    <w:p w:rsidR="00325C84" w:rsidRPr="00C95367" w:rsidRDefault="00325C84" w:rsidP="00325C8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Classe </w:t>
      </w:r>
      <w:proofErr w:type="spellStart"/>
      <w:r w:rsidRPr="00C95367">
        <w:rPr>
          <w:rFonts w:ascii="Times New Roman" w:eastAsia="Times New Roman" w:hAnsi="Times New Roman" w:cs="Times New Roman"/>
          <w:color w:val="000000"/>
          <w:sz w:val="24"/>
          <w:szCs w:val="24"/>
          <w:lang w:eastAsia="fr-FR"/>
        </w:rPr>
        <w:t>pharmacothérapeutique</w:t>
      </w:r>
      <w:proofErr w:type="spellEnd"/>
      <w:r w:rsidRPr="00C95367">
        <w:rPr>
          <w:rFonts w:ascii="Times New Roman" w:eastAsia="Times New Roman" w:hAnsi="Times New Roman" w:cs="Times New Roman"/>
          <w:color w:val="000000"/>
          <w:sz w:val="24"/>
          <w:szCs w:val="24"/>
          <w:lang w:eastAsia="fr-FR"/>
        </w:rPr>
        <w:t xml:space="preserve">: </w:t>
      </w:r>
      <w:r w:rsidRPr="00C95367">
        <w:rPr>
          <w:rFonts w:ascii="Times New Roman" w:eastAsia="Times New Roman" w:hAnsi="Times New Roman" w:cs="Times New Roman"/>
          <w:b/>
          <w:bCs/>
          <w:color w:val="000000"/>
          <w:sz w:val="24"/>
          <w:szCs w:val="24"/>
          <w:lang w:eastAsia="fr-FR"/>
        </w:rPr>
        <w:t>ANTIBACTERIENS A USAGE SYSTEMIQUE</w:t>
      </w:r>
      <w:r w:rsidRPr="00C95367">
        <w:rPr>
          <w:rFonts w:ascii="Times New Roman" w:eastAsia="Times New Roman" w:hAnsi="Times New Roman" w:cs="Times New Roman"/>
          <w:color w:val="000000"/>
          <w:sz w:val="24"/>
          <w:szCs w:val="24"/>
          <w:lang w:eastAsia="fr-FR"/>
        </w:rPr>
        <w:t xml:space="preserve">, Code ATC: </w:t>
      </w:r>
      <w:r w:rsidRPr="00C95367">
        <w:rPr>
          <w:rFonts w:ascii="Times New Roman" w:eastAsia="Times New Roman" w:hAnsi="Times New Roman" w:cs="Times New Roman"/>
          <w:b/>
          <w:bCs/>
          <w:color w:val="000000"/>
          <w:sz w:val="24"/>
          <w:szCs w:val="24"/>
          <w:lang w:eastAsia="fr-FR"/>
        </w:rPr>
        <w:t>J01DA31</w:t>
      </w:r>
      <w:r w:rsidRPr="00C95367">
        <w:rPr>
          <w:rFonts w:ascii="Times New Roman" w:eastAsia="Times New Roman" w:hAnsi="Times New Roman" w:cs="Times New Roman"/>
          <w:color w:val="000000"/>
          <w:sz w:val="24"/>
          <w:szCs w:val="24"/>
          <w:lang w:eastAsia="fr-FR"/>
        </w:rPr>
        <w:t xml:space="preserve">. </w:t>
      </w:r>
    </w:p>
    <w:p w:rsidR="00325C84" w:rsidRPr="00C95367" w:rsidRDefault="00325C84" w:rsidP="00325C8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Antibiotique antibactérien de la famille des bêta-</w:t>
      </w:r>
      <w:proofErr w:type="spellStart"/>
      <w:r w:rsidRPr="00C95367">
        <w:rPr>
          <w:rFonts w:ascii="Times New Roman" w:eastAsia="Times New Roman" w:hAnsi="Times New Roman" w:cs="Times New Roman"/>
          <w:color w:val="000000"/>
          <w:sz w:val="24"/>
          <w:szCs w:val="24"/>
          <w:lang w:eastAsia="fr-FR"/>
        </w:rPr>
        <w:t>lactamines</w:t>
      </w:r>
      <w:proofErr w:type="spellEnd"/>
      <w:r w:rsidRPr="00C95367">
        <w:rPr>
          <w:rFonts w:ascii="Times New Roman" w:eastAsia="Times New Roman" w:hAnsi="Times New Roman" w:cs="Times New Roman"/>
          <w:color w:val="000000"/>
          <w:sz w:val="24"/>
          <w:szCs w:val="24"/>
          <w:lang w:eastAsia="fr-FR"/>
        </w:rPr>
        <w:t xml:space="preserve"> du groupe des céphalosporines de 1</w:t>
      </w:r>
      <w:r w:rsidRPr="00C95367">
        <w:rPr>
          <w:rFonts w:ascii="Times New Roman" w:eastAsia="Times New Roman" w:hAnsi="Times New Roman" w:cs="Times New Roman"/>
          <w:color w:val="000000"/>
          <w:sz w:val="24"/>
          <w:szCs w:val="24"/>
          <w:vertAlign w:val="superscript"/>
          <w:lang w:eastAsia="fr-FR"/>
        </w:rPr>
        <w:t>ère</w:t>
      </w:r>
      <w:r w:rsidRPr="00C95367">
        <w:rPr>
          <w:rFonts w:ascii="Times New Roman" w:eastAsia="Times New Roman" w:hAnsi="Times New Roman" w:cs="Times New Roman"/>
          <w:color w:val="000000"/>
          <w:sz w:val="24"/>
          <w:szCs w:val="24"/>
          <w:lang w:eastAsia="fr-FR"/>
        </w:rPr>
        <w:t xml:space="preserve"> génération. </w:t>
      </w:r>
    </w:p>
    <w:p w:rsidR="00325C84" w:rsidRPr="00C95367" w:rsidRDefault="00325C84" w:rsidP="00325C8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w:t>
      </w:r>
      <w:r w:rsidRPr="00C95367">
        <w:rPr>
          <w:rFonts w:ascii="Times New Roman" w:eastAsia="Times New Roman" w:hAnsi="Times New Roman" w:cs="Times New Roman"/>
          <w:b/>
          <w:bCs/>
          <w:color w:val="000000"/>
          <w:sz w:val="24"/>
          <w:szCs w:val="24"/>
          <w:lang w:eastAsia="fr-FR"/>
        </w:rPr>
        <w:t>J: Anti-infectieux</w:t>
      </w:r>
      <w:r w:rsidRPr="00C95367">
        <w:rPr>
          <w:rFonts w:ascii="Times New Roman" w:eastAsia="Times New Roman" w:hAnsi="Times New Roman" w:cs="Times New Roman"/>
          <w:color w:val="000000"/>
          <w:sz w:val="24"/>
          <w:szCs w:val="24"/>
          <w:lang w:eastAsia="fr-FR"/>
        </w:rPr>
        <w:t xml:space="preserve">) </w:t>
      </w:r>
    </w:p>
    <w:p w:rsidR="00325C84" w:rsidRPr="00C95367" w:rsidRDefault="00325C84" w:rsidP="00325C8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SPECTRE D'ACTIVITE ANTIBACTERIENNE </w:t>
      </w:r>
    </w:p>
    <w:p w:rsidR="00325C84" w:rsidRPr="00C95367" w:rsidRDefault="00325C84" w:rsidP="00325C84">
      <w:pPr>
        <w:spacing w:before="240"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Les concentrations critiques séparent les souches sensibles des souches de sensibilité intermédiaire et ces dernières, des résistantes : </w:t>
      </w:r>
    </w:p>
    <w:p w:rsidR="00325C84" w:rsidRPr="00C95367" w:rsidRDefault="00325C84" w:rsidP="00325C84">
      <w:pPr>
        <w:spacing w:before="100" w:beforeAutospacing="1" w:after="240"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S ≤ 8 mg/l et R &gt; 32 mg/l </w:t>
      </w:r>
    </w:p>
    <w:p w:rsidR="00325C84" w:rsidRPr="00C95367" w:rsidRDefault="00325C84" w:rsidP="00325C84">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 </w:t>
      </w:r>
    </w:p>
    <w:p w:rsidR="00325C84" w:rsidRPr="00C95367" w:rsidRDefault="00325C84" w:rsidP="00325C84">
      <w:pPr>
        <w:spacing w:before="100" w:beforeAutospacing="1" w:after="240"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Lorsque la variabilité de la prévalence de la résistance en France est connue pour une espèce bactérienne, elle est indiquée dans le tableau ci-dessous : </w:t>
      </w:r>
    </w:p>
    <w:tbl>
      <w:tblPr>
        <w:tblW w:w="0" w:type="auto"/>
        <w:jc w:val="center"/>
        <w:tblCellSpacing w:w="0" w:type="dxa"/>
        <w:tblInd w:w="1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14"/>
        <w:gridCol w:w="4483"/>
      </w:tblGrid>
      <w:tr w:rsidR="00325C84" w:rsidRPr="00C95367" w:rsidTr="00326329">
        <w:trPr>
          <w:tblCellSpacing w:w="0" w:type="dxa"/>
          <w:jc w:val="center"/>
        </w:trPr>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Catégories </w:t>
            </w:r>
          </w:p>
        </w:tc>
        <w:tc>
          <w:tcPr>
            <w:tcW w:w="4483" w:type="dxa"/>
            <w:tcBorders>
              <w:top w:val="single" w:sz="8" w:space="0" w:color="auto"/>
              <w:left w:val="nil"/>
              <w:bottom w:val="single" w:sz="8" w:space="0" w:color="auto"/>
              <w:right w:val="single" w:sz="8" w:space="0" w:color="auto"/>
            </w:tcBorders>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Fréquence de résistance acquise en France (&gt; 10%) (valeurs extrêmes) </w:t>
            </w: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ESPÈCES SENSIBLES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Aérobies à Gram positif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Corynebacterium</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diphtheriae</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Propionibacterium</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acnes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Staphylococcus</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méti-S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Streptococcus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Streptococcus</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pneumoniae</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30 - 70 % </w:t>
            </w: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Aérobies à Gram négatif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Branhamella</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catarrhalis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Citrobacter</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koseri</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val="de-DE" w:eastAsia="fr-FR"/>
              </w:rPr>
              <w:t>Escherichia coli</w:t>
            </w:r>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val="de-DE" w:eastAsia="fr-FR"/>
              </w:rPr>
              <w:t>20 - 30 %</w:t>
            </w:r>
            <w:r w:rsidRPr="00C95367">
              <w:rPr>
                <w:rFonts w:ascii="Times New Roman" w:eastAsia="Times New Roman" w:hAnsi="Times New Roman" w:cs="Times New Roman"/>
                <w:color w:val="000000"/>
                <w:sz w:val="24"/>
                <w:szCs w:val="24"/>
                <w:lang w:eastAsia="fr-FR"/>
              </w:rPr>
              <w:t xml:space="preserve"> </w:t>
            </w: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val="de-DE" w:eastAsia="fr-FR"/>
              </w:rPr>
              <w:t>Klebsiella</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0 - 30 % </w:t>
            </w: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Neisseria</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gonorrhoeae</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Pasteurella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Anaérobies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Fusobacterium</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10 - 20 % </w:t>
            </w:r>
          </w:p>
        </w:tc>
      </w:tr>
      <w:tr w:rsidR="00325C84" w:rsidRPr="00C95367" w:rsidTr="00326329">
        <w:trPr>
          <w:tblCellSpacing w:w="0" w:type="dxa"/>
          <w:jc w:val="center"/>
        </w:trPr>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Prevotella</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single" w:sz="8" w:space="0" w:color="auto"/>
              <w:right w:val="single" w:sz="8" w:space="0" w:color="auto"/>
            </w:tcBorders>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60 - 70 % </w:t>
            </w: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ESPÈCES MODÉRÉMENT SENSIBLES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(in vitro de sensibilité intermédiaire)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Aérobies à Gram négatif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Haemophilus</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influenzae</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lastRenderedPageBreak/>
              <w:t>Proteus</w:t>
            </w:r>
            <w:proofErr w:type="spellEnd"/>
            <w:r w:rsidRPr="00C95367">
              <w:rPr>
                <w:rFonts w:ascii="Times New Roman" w:eastAsia="Times New Roman" w:hAnsi="Times New Roman" w:cs="Times New Roman"/>
                <w:color w:val="000000"/>
                <w:sz w:val="24"/>
                <w:szCs w:val="24"/>
                <w:lang w:eastAsia="fr-FR"/>
              </w:rPr>
              <w:t xml:space="preserve"> mirabilis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Anaérobies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Clostridium</w:t>
            </w:r>
            <w:proofErr w:type="spellEnd"/>
            <w:r w:rsidRPr="00C95367">
              <w:rPr>
                <w:rFonts w:ascii="Times New Roman" w:eastAsia="Times New Roman" w:hAnsi="Times New Roman" w:cs="Times New Roman"/>
                <w:color w:val="000000"/>
                <w:sz w:val="24"/>
                <w:szCs w:val="24"/>
                <w:lang w:eastAsia="fr-FR"/>
              </w:rPr>
              <w:t xml:space="preserve"> perfringens </w:t>
            </w:r>
          </w:p>
        </w:tc>
        <w:tc>
          <w:tcPr>
            <w:tcW w:w="4483" w:type="dxa"/>
            <w:tcBorders>
              <w:top w:val="nil"/>
              <w:left w:val="nil"/>
              <w:bottom w:val="nil"/>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Peptostreptococcus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single" w:sz="8" w:space="0" w:color="auto"/>
              <w:right w:val="single" w:sz="8" w:space="0" w:color="auto"/>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bl>
    <w:p w:rsidR="00325C84" w:rsidRPr="00C95367" w:rsidRDefault="00325C84" w:rsidP="00325C84">
      <w:pPr>
        <w:spacing w:after="240" w:line="240" w:lineRule="auto"/>
        <w:rPr>
          <w:rFonts w:ascii="Times New Roman" w:eastAsia="Times New Roman" w:hAnsi="Times New Roman" w:cs="Times New Roman"/>
          <w:color w:val="000000"/>
          <w:sz w:val="24"/>
          <w:szCs w:val="24"/>
          <w:lang w:eastAsia="fr-FR"/>
        </w:rPr>
      </w:pPr>
    </w:p>
    <w:tbl>
      <w:tblPr>
        <w:tblW w:w="8993" w:type="dxa"/>
        <w:jc w:val="center"/>
        <w:tblCellSpacing w:w="0" w:type="dxa"/>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81"/>
        <w:gridCol w:w="4482"/>
        <w:gridCol w:w="30"/>
      </w:tblGrid>
      <w:tr w:rsidR="00325C84" w:rsidRPr="00C95367" w:rsidTr="00326329">
        <w:trPr>
          <w:tblCellSpacing w:w="0" w:type="dxa"/>
          <w:jc w:val="center"/>
        </w:trPr>
        <w:tc>
          <w:tcPr>
            <w:tcW w:w="4481" w:type="dxa"/>
            <w:tcBorders>
              <w:top w:val="single" w:sz="8" w:space="0" w:color="000000"/>
              <w:left w:val="single" w:sz="8" w:space="0" w:color="000000"/>
              <w:bottom w:val="single" w:sz="8" w:space="0" w:color="auto"/>
              <w:right w:val="nil"/>
            </w:tcBorders>
            <w:tcMar>
              <w:top w:w="0" w:type="dxa"/>
              <w:left w:w="79" w:type="dxa"/>
              <w:bottom w:w="0" w:type="dxa"/>
              <w:right w:w="79"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Catégories </w:t>
            </w:r>
          </w:p>
        </w:tc>
        <w:tc>
          <w:tcPr>
            <w:tcW w:w="4512" w:type="dxa"/>
            <w:gridSpan w:val="2"/>
            <w:tcBorders>
              <w:top w:val="nil"/>
              <w:left w:val="single" w:sz="8" w:space="0" w:color="auto"/>
              <w:bottom w:val="nil"/>
              <w:right w:val="nil"/>
            </w:tcBorders>
            <w:tcMar>
              <w:top w:w="0" w:type="dxa"/>
              <w:left w:w="79" w:type="dxa"/>
              <w:bottom w:w="0" w:type="dxa"/>
              <w:right w:w="79"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br/>
            </w:r>
            <w:r w:rsidRPr="00C95367">
              <w:rPr>
                <w:rFonts w:ascii="Times New Roman" w:eastAsia="Times New Roman" w:hAnsi="Times New Roman" w:cs="Times New Roman"/>
                <w:color w:val="000000"/>
                <w:sz w:val="24"/>
                <w:szCs w:val="24"/>
                <w:lang w:eastAsia="fr-FR"/>
              </w:rPr>
              <w:br/>
            </w: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ESPÈCES RÉSISTANTES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Aérobies à Gram positif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Entérocoques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Listeria </w:t>
            </w:r>
            <w:proofErr w:type="spellStart"/>
            <w:r w:rsidRPr="00C95367">
              <w:rPr>
                <w:rFonts w:ascii="Times New Roman" w:eastAsia="Times New Roman" w:hAnsi="Times New Roman" w:cs="Times New Roman"/>
                <w:color w:val="000000"/>
                <w:sz w:val="24"/>
                <w:szCs w:val="24"/>
                <w:lang w:eastAsia="fr-FR"/>
              </w:rPr>
              <w:t>monocytogenes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Staphylococcus</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méti</w:t>
            </w:r>
            <w:proofErr w:type="spellEnd"/>
            <w:r w:rsidRPr="00C95367">
              <w:rPr>
                <w:rFonts w:ascii="Times New Roman" w:eastAsia="Times New Roman" w:hAnsi="Times New Roman" w:cs="Times New Roman"/>
                <w:color w:val="000000"/>
                <w:sz w:val="24"/>
                <w:szCs w:val="24"/>
                <w:lang w:eastAsia="fr-FR"/>
              </w:rPr>
              <w:t xml:space="preserve">-R *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Aérobies à Gram négatif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Acinetobacter</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Citrobacter</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freundii</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Enterobacter</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Morganella</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morganii</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Proteus</w:t>
            </w:r>
            <w:proofErr w:type="spellEnd"/>
            <w:r w:rsidRPr="00C95367">
              <w:rPr>
                <w:rFonts w:ascii="Times New Roman" w:eastAsia="Times New Roman" w:hAnsi="Times New Roman" w:cs="Times New Roman"/>
                <w:color w:val="000000"/>
                <w:sz w:val="24"/>
                <w:szCs w:val="24"/>
                <w:lang w:eastAsia="fr-FR"/>
              </w:rPr>
              <w:t xml:space="preserve"> </w:t>
            </w:r>
            <w:proofErr w:type="spellStart"/>
            <w:r w:rsidRPr="00C95367">
              <w:rPr>
                <w:rFonts w:ascii="Times New Roman" w:eastAsia="Times New Roman" w:hAnsi="Times New Roman" w:cs="Times New Roman"/>
                <w:color w:val="000000"/>
                <w:sz w:val="24"/>
                <w:szCs w:val="24"/>
                <w:lang w:eastAsia="fr-FR"/>
              </w:rPr>
              <w:t>vulgaris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Providencia</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Pseudomonas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Serratia</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Anaérobies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nil"/>
              <w:left w:val="single" w:sz="8" w:space="0" w:color="auto"/>
              <w:bottom w:val="nil"/>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Bacteroides</w:t>
            </w:r>
            <w:proofErr w:type="spellEnd"/>
            <w:r w:rsidRPr="00C95367">
              <w:rPr>
                <w:rFonts w:ascii="Times New Roman" w:eastAsia="Times New Roman" w:hAnsi="Times New Roman" w:cs="Times New Roman"/>
                <w:color w:val="000000"/>
                <w:sz w:val="24"/>
                <w:szCs w:val="24"/>
                <w:lang w:eastAsia="fr-FR"/>
              </w:rPr>
              <w:t xml:space="preserv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r w:rsidR="00325C84" w:rsidRPr="00C95367" w:rsidTr="00326329">
        <w:trPr>
          <w:tblCellSpacing w:w="0" w:type="dxa"/>
          <w:jc w:val="center"/>
        </w:trPr>
        <w:tc>
          <w:tcPr>
            <w:tcW w:w="4481" w:type="dxa"/>
            <w:tcBorders>
              <w:top w:val="single" w:sz="8" w:space="0" w:color="auto"/>
              <w:left w:val="single" w:sz="8" w:space="0" w:color="auto"/>
              <w:bottom w:val="single" w:sz="8" w:space="0" w:color="auto"/>
              <w:right w:val="single" w:sz="8" w:space="0" w:color="auto"/>
            </w:tcBorders>
            <w:shd w:val="clear" w:color="auto" w:fill="FFFFFF"/>
            <w:tcMar>
              <w:top w:w="0" w:type="dxa"/>
              <w:left w:w="117" w:type="dxa"/>
              <w:bottom w:w="0" w:type="dxa"/>
              <w:right w:w="117" w:type="dxa"/>
            </w:tcMar>
            <w:hideMark/>
          </w:tcPr>
          <w:p w:rsidR="00C95367" w:rsidRPr="00C95367" w:rsidRDefault="00325C84" w:rsidP="0032632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C95367">
              <w:rPr>
                <w:rFonts w:ascii="Times New Roman" w:eastAsia="Times New Roman" w:hAnsi="Times New Roman" w:cs="Times New Roman"/>
                <w:color w:val="000000"/>
                <w:sz w:val="24"/>
                <w:szCs w:val="24"/>
                <w:lang w:eastAsia="fr-FR"/>
              </w:rPr>
              <w:t>Clostridium</w:t>
            </w:r>
            <w:proofErr w:type="spellEnd"/>
            <w:r w:rsidRPr="00C95367">
              <w:rPr>
                <w:rFonts w:ascii="Times New Roman" w:eastAsia="Times New Roman" w:hAnsi="Times New Roman" w:cs="Times New Roman"/>
                <w:color w:val="000000"/>
                <w:sz w:val="24"/>
                <w:szCs w:val="24"/>
                <w:lang w:eastAsia="fr-FR"/>
              </w:rPr>
              <w:t xml:space="preserve"> difficile </w:t>
            </w:r>
          </w:p>
        </w:tc>
        <w:tc>
          <w:tcPr>
            <w:tcW w:w="4483" w:type="dxa"/>
            <w:tcBorders>
              <w:top w:val="nil"/>
              <w:left w:val="nil"/>
              <w:bottom w:val="nil"/>
              <w:right w:val="nil"/>
            </w:tcBorders>
            <w:tcMar>
              <w:top w:w="0" w:type="dxa"/>
              <w:left w:w="117" w:type="dxa"/>
              <w:bottom w:w="0" w:type="dxa"/>
              <w:right w:w="117" w:type="dxa"/>
            </w:tcMa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c>
          <w:tcPr>
            <w:tcW w:w="30" w:type="dxa"/>
            <w:tcBorders>
              <w:top w:val="nil"/>
              <w:left w:val="nil"/>
              <w:bottom w:val="nil"/>
              <w:right w:val="nil"/>
            </w:tcBorders>
            <w:vAlign w:val="center"/>
            <w:hideMark/>
          </w:tcPr>
          <w:p w:rsidR="00325C84" w:rsidRPr="00C95367" w:rsidRDefault="00325C84" w:rsidP="00326329">
            <w:pPr>
              <w:spacing w:after="240" w:line="240" w:lineRule="auto"/>
              <w:rPr>
                <w:rFonts w:ascii="Times New Roman" w:eastAsia="Times New Roman" w:hAnsi="Times New Roman" w:cs="Times New Roman"/>
                <w:color w:val="000000"/>
                <w:sz w:val="24"/>
                <w:szCs w:val="24"/>
                <w:lang w:eastAsia="fr-FR"/>
              </w:rPr>
            </w:pPr>
          </w:p>
        </w:tc>
      </w:tr>
    </w:tbl>
    <w:p w:rsidR="00325C84" w:rsidRPr="00C95367" w:rsidRDefault="00325C84" w:rsidP="00325C84">
      <w:pPr>
        <w:spacing w:before="240" w:after="240" w:line="240" w:lineRule="auto"/>
        <w:ind w:left="284" w:hanging="284"/>
        <w:rPr>
          <w:rFonts w:ascii="Times New Roman" w:eastAsia="Times New Roman" w:hAnsi="Times New Roman" w:cs="Times New Roman"/>
          <w:color w:val="000000"/>
          <w:sz w:val="24"/>
          <w:szCs w:val="24"/>
          <w:lang w:eastAsia="fr-FR"/>
        </w:rPr>
      </w:pPr>
      <w:r w:rsidRPr="00C95367">
        <w:rPr>
          <w:rFonts w:ascii="Times New Roman" w:eastAsia="Times New Roman" w:hAnsi="Times New Roman" w:cs="Times New Roman"/>
          <w:color w:val="000000"/>
          <w:sz w:val="24"/>
          <w:szCs w:val="24"/>
          <w:lang w:eastAsia="fr-FR"/>
        </w:rPr>
        <w:t xml:space="preserve">* La fréquence de résistance à la </w:t>
      </w:r>
      <w:proofErr w:type="spellStart"/>
      <w:r w:rsidRPr="00C95367">
        <w:rPr>
          <w:rFonts w:ascii="Times New Roman" w:eastAsia="Times New Roman" w:hAnsi="Times New Roman" w:cs="Times New Roman"/>
          <w:color w:val="000000"/>
          <w:sz w:val="24"/>
          <w:szCs w:val="24"/>
          <w:lang w:eastAsia="fr-FR"/>
        </w:rPr>
        <w:t>méticilline</w:t>
      </w:r>
      <w:proofErr w:type="spellEnd"/>
      <w:r w:rsidRPr="00C95367">
        <w:rPr>
          <w:rFonts w:ascii="Times New Roman" w:eastAsia="Times New Roman" w:hAnsi="Times New Roman" w:cs="Times New Roman"/>
          <w:color w:val="000000"/>
          <w:sz w:val="24"/>
          <w:szCs w:val="24"/>
          <w:lang w:eastAsia="fr-FR"/>
        </w:rPr>
        <w:t xml:space="preserve"> est environ de 30 à 50 % de l'ensemble des staphylocoques et se rencontre surtout en milieu hospitalier.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25C84"/>
    <w:rsid w:val="00011BE9"/>
    <w:rsid w:val="00017B31"/>
    <w:rsid w:val="0006330F"/>
    <w:rsid w:val="0009769E"/>
    <w:rsid w:val="000C4178"/>
    <w:rsid w:val="00120A2B"/>
    <w:rsid w:val="001931B1"/>
    <w:rsid w:val="001A53D5"/>
    <w:rsid w:val="001B333A"/>
    <w:rsid w:val="001B3E26"/>
    <w:rsid w:val="00282113"/>
    <w:rsid w:val="002D0F57"/>
    <w:rsid w:val="003164DC"/>
    <w:rsid w:val="00325C84"/>
    <w:rsid w:val="0034030B"/>
    <w:rsid w:val="00370323"/>
    <w:rsid w:val="004276C2"/>
    <w:rsid w:val="004771A7"/>
    <w:rsid w:val="00521B28"/>
    <w:rsid w:val="005630AF"/>
    <w:rsid w:val="00587FAE"/>
    <w:rsid w:val="00610963"/>
    <w:rsid w:val="0062264F"/>
    <w:rsid w:val="00673C6F"/>
    <w:rsid w:val="006A4DC8"/>
    <w:rsid w:val="006D4445"/>
    <w:rsid w:val="0070624C"/>
    <w:rsid w:val="007227D1"/>
    <w:rsid w:val="007628F0"/>
    <w:rsid w:val="0078077B"/>
    <w:rsid w:val="007A24F8"/>
    <w:rsid w:val="007E4829"/>
    <w:rsid w:val="00816CD7"/>
    <w:rsid w:val="00841542"/>
    <w:rsid w:val="008D2D19"/>
    <w:rsid w:val="008F30B2"/>
    <w:rsid w:val="00911C5C"/>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3</cp:revision>
  <dcterms:created xsi:type="dcterms:W3CDTF">2013-11-07T16:34:00Z</dcterms:created>
  <dcterms:modified xsi:type="dcterms:W3CDTF">2013-11-07T16:57:00Z</dcterms:modified>
</cp:coreProperties>
</file>